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E0FC" w14:textId="54BC5B6D" w:rsidR="0066694E" w:rsidRPr="00E747F7" w:rsidRDefault="0066694E" w:rsidP="00D72E63">
      <w:pPr>
        <w:spacing w:before="120" w:after="120" w:line="240" w:lineRule="auto"/>
        <w:jc w:val="center"/>
        <w:rPr>
          <w:rFonts w:ascii="Times New Roman" w:eastAsia="Times New Roman" w:hAnsi="Times New Roman" w:cs="Times New Roman"/>
          <w:kern w:val="0"/>
          <w:sz w:val="26"/>
          <w:szCs w:val="26"/>
          <w:lang w:eastAsia="it-IT"/>
          <w14:ligatures w14:val="none"/>
        </w:rPr>
      </w:pPr>
      <w:r w:rsidRPr="00D72E63">
        <w:rPr>
          <w:rFonts w:ascii="Times New Roman" w:eastAsia="Times New Roman" w:hAnsi="Times New Roman" w:cs="Times New Roman"/>
          <w:b/>
          <w:bCs/>
          <w:kern w:val="0"/>
          <w:sz w:val="26"/>
          <w:szCs w:val="26"/>
          <w:lang w:eastAsia="it-IT"/>
          <w14:ligatures w14:val="none"/>
        </w:rPr>
        <w:t>INDICAZIONI OPERATIVE</w:t>
      </w:r>
      <w:r w:rsidR="008156C8" w:rsidRPr="00D72E63">
        <w:rPr>
          <w:rFonts w:ascii="Times New Roman" w:eastAsia="Times New Roman" w:hAnsi="Times New Roman" w:cs="Times New Roman"/>
          <w:b/>
          <w:bCs/>
          <w:kern w:val="0"/>
          <w:sz w:val="26"/>
          <w:szCs w:val="26"/>
          <w:lang w:eastAsia="it-IT"/>
          <w14:ligatures w14:val="none"/>
        </w:rPr>
        <w:t xml:space="preserve"> </w:t>
      </w:r>
      <w:r w:rsidR="00E92DEE" w:rsidRPr="00D72E63">
        <w:rPr>
          <w:rFonts w:ascii="Times New Roman" w:eastAsia="Times New Roman" w:hAnsi="Times New Roman" w:cs="Times New Roman"/>
          <w:b/>
          <w:bCs/>
          <w:kern w:val="0"/>
          <w:sz w:val="26"/>
          <w:szCs w:val="26"/>
          <w:lang w:eastAsia="it-IT"/>
          <w14:ligatures w14:val="none"/>
        </w:rPr>
        <w:t>AI FINI</w:t>
      </w:r>
      <w:r w:rsidR="008156C8" w:rsidRPr="00D72E63">
        <w:rPr>
          <w:rFonts w:ascii="Times New Roman" w:eastAsia="Times New Roman" w:hAnsi="Times New Roman" w:cs="Times New Roman"/>
          <w:b/>
          <w:bCs/>
          <w:kern w:val="0"/>
          <w:sz w:val="26"/>
          <w:szCs w:val="26"/>
          <w:lang w:eastAsia="it-IT"/>
          <w14:ligatures w14:val="none"/>
        </w:rPr>
        <w:t xml:space="preserve"> </w:t>
      </w:r>
      <w:r w:rsidR="00D72E63" w:rsidRPr="00D72E63">
        <w:rPr>
          <w:rFonts w:ascii="Times New Roman" w:eastAsia="Times New Roman" w:hAnsi="Times New Roman" w:cs="Times New Roman"/>
          <w:b/>
          <w:bCs/>
          <w:kern w:val="0"/>
          <w:sz w:val="26"/>
          <w:szCs w:val="26"/>
          <w:lang w:eastAsia="it-IT"/>
          <w14:ligatures w14:val="none"/>
        </w:rPr>
        <w:t xml:space="preserve">DEL </w:t>
      </w:r>
      <w:r w:rsidR="008156C8" w:rsidRPr="00D72E63">
        <w:rPr>
          <w:rFonts w:ascii="Times New Roman" w:eastAsia="Times New Roman" w:hAnsi="Times New Roman" w:cs="Times New Roman"/>
          <w:b/>
          <w:bCs/>
          <w:kern w:val="0"/>
          <w:sz w:val="26"/>
          <w:szCs w:val="26"/>
          <w:lang w:eastAsia="it-IT"/>
          <w14:ligatures w14:val="none"/>
        </w:rPr>
        <w:t>RILASCIO DI CERTIFICATO EREDITARIO</w:t>
      </w:r>
      <w:r w:rsidR="000C77E2" w:rsidRPr="00D72E63">
        <w:rPr>
          <w:rFonts w:ascii="Times New Roman" w:eastAsia="Times New Roman" w:hAnsi="Times New Roman" w:cs="Times New Roman"/>
          <w:b/>
          <w:bCs/>
          <w:kern w:val="0"/>
          <w:sz w:val="26"/>
          <w:szCs w:val="26"/>
          <w:lang w:eastAsia="it-IT"/>
          <w14:ligatures w14:val="none"/>
        </w:rPr>
        <w:t xml:space="preserve"> </w:t>
      </w:r>
      <w:r w:rsidR="000C77E2" w:rsidRPr="00E747F7">
        <w:rPr>
          <w:rFonts w:ascii="Times New Roman" w:eastAsia="Times New Roman" w:hAnsi="Times New Roman" w:cs="Times New Roman"/>
          <w:kern w:val="0"/>
          <w:sz w:val="26"/>
          <w:szCs w:val="26"/>
          <w:lang w:eastAsia="it-IT"/>
          <w14:ligatures w14:val="none"/>
        </w:rPr>
        <w:t xml:space="preserve">(riunione della Prima Sezione civile </w:t>
      </w:r>
      <w:r w:rsidR="00D72E63" w:rsidRPr="00E747F7">
        <w:rPr>
          <w:rFonts w:ascii="Times New Roman" w:eastAsia="Times New Roman" w:hAnsi="Times New Roman" w:cs="Times New Roman"/>
          <w:kern w:val="0"/>
          <w:sz w:val="26"/>
          <w:szCs w:val="26"/>
          <w:lang w:eastAsia="it-IT"/>
          <w14:ligatures w14:val="none"/>
        </w:rPr>
        <w:t xml:space="preserve">del Tribunale di Bolzano </w:t>
      </w:r>
      <w:r w:rsidR="000C77E2" w:rsidRPr="00E747F7">
        <w:rPr>
          <w:rFonts w:ascii="Times New Roman" w:eastAsia="Times New Roman" w:hAnsi="Times New Roman" w:cs="Times New Roman"/>
          <w:kern w:val="0"/>
          <w:sz w:val="26"/>
          <w:szCs w:val="26"/>
          <w:lang w:eastAsia="it-IT"/>
          <w14:ligatures w14:val="none"/>
        </w:rPr>
        <w:t>del 30.03.2023)</w:t>
      </w:r>
    </w:p>
    <w:p w14:paraId="154371AB" w14:textId="4E92E295" w:rsidR="00E92DEE" w:rsidRPr="00D72E63" w:rsidRDefault="007F21AD" w:rsidP="00D72E63">
      <w:pPr>
        <w:spacing w:before="120" w:after="120" w:line="240" w:lineRule="auto"/>
        <w:jc w:val="center"/>
        <w:rPr>
          <w:rFonts w:ascii="Times New Roman" w:eastAsia="Times New Roman" w:hAnsi="Times New Roman" w:cs="Times New Roman"/>
          <w:b/>
          <w:bCs/>
          <w:kern w:val="0"/>
          <w:sz w:val="26"/>
          <w:szCs w:val="26"/>
          <w:lang w:val="de-DE" w:eastAsia="it-IT"/>
          <w14:ligatures w14:val="none"/>
        </w:rPr>
      </w:pPr>
      <w:r w:rsidRPr="00D72E63">
        <w:rPr>
          <w:rFonts w:ascii="Times New Roman" w:eastAsia="Times New Roman" w:hAnsi="Times New Roman" w:cs="Times New Roman"/>
          <w:b/>
          <w:bCs/>
          <w:kern w:val="0"/>
          <w:sz w:val="26"/>
          <w:szCs w:val="26"/>
          <w:lang w:val="de-DE" w:eastAsia="it-IT"/>
          <w14:ligatures w14:val="none"/>
        </w:rPr>
        <w:t>ANLEITUNG ZUM ERLASS EINES ERBSCHEINS</w:t>
      </w:r>
      <w:r w:rsidR="000C77E2" w:rsidRPr="00D72E63">
        <w:rPr>
          <w:rFonts w:ascii="Times New Roman" w:eastAsia="Times New Roman" w:hAnsi="Times New Roman" w:cs="Times New Roman"/>
          <w:b/>
          <w:bCs/>
          <w:kern w:val="0"/>
          <w:sz w:val="26"/>
          <w:szCs w:val="26"/>
          <w:lang w:val="de-DE" w:eastAsia="it-IT"/>
          <w14:ligatures w14:val="none"/>
        </w:rPr>
        <w:t xml:space="preserve"> </w:t>
      </w:r>
      <w:r w:rsidR="000C77E2" w:rsidRPr="00E747F7">
        <w:rPr>
          <w:rFonts w:ascii="Times New Roman" w:eastAsia="Times New Roman" w:hAnsi="Times New Roman" w:cs="Times New Roman"/>
          <w:kern w:val="0"/>
          <w:sz w:val="26"/>
          <w:szCs w:val="26"/>
          <w:lang w:val="de-DE" w:eastAsia="it-IT"/>
          <w14:ligatures w14:val="none"/>
        </w:rPr>
        <w:t xml:space="preserve">(Sitzung der </w:t>
      </w:r>
      <w:r w:rsidR="00D72E63" w:rsidRPr="00E747F7">
        <w:rPr>
          <w:rFonts w:ascii="Times New Roman" w:eastAsia="Times New Roman" w:hAnsi="Times New Roman" w:cs="Times New Roman"/>
          <w:kern w:val="0"/>
          <w:sz w:val="26"/>
          <w:szCs w:val="26"/>
          <w:lang w:val="de-DE" w:eastAsia="it-IT"/>
          <w14:ligatures w14:val="none"/>
        </w:rPr>
        <w:t>Ersten Zivilsektion des Landesgericht Bozen vom 30.03.2023)</w:t>
      </w:r>
    </w:p>
    <w:p w14:paraId="2987D64A" w14:textId="2DD6C93C"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Deve essere presentato un ricorso con relativa nota di iscrizione a ruolo presso la Cancelleria delle Successioni (ovvero mediante deposito telematico in PCT) con la firma degli eredi autenticata necessariamente o da un notaio o da un avvocato munito di procura alle liti, procura parimenti munita di autentica delle firme realizzata dal difensore.</w:t>
      </w:r>
    </w:p>
    <w:p w14:paraId="5B34A31B" w14:textId="77777777"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Al ricorso devono essere allegati i seguenti documenti, che variano a seconda che si tratti di successione legittima o testamentaria:</w:t>
      </w:r>
    </w:p>
    <w:p w14:paraId="0D6234EE" w14:textId="77777777"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 xml:space="preserve">-       certificato di morte </w:t>
      </w:r>
    </w:p>
    <w:p w14:paraId="0B953414" w14:textId="77777777"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       denuncia di successione depositata</w:t>
      </w:r>
    </w:p>
    <w:p w14:paraId="75FB9DC8" w14:textId="77777777"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       copia autentica del testamento</w:t>
      </w:r>
    </w:p>
    <w:p w14:paraId="50E0FC8A" w14:textId="77777777"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 xml:space="preserve">-       stato di famiglia storico del defunto con indicazione della parentela: qualora l’anagrafe comunale dovesse rilasciare lo stato di famiglia storico del defunto privo dell’indicazione dei rapporti di parentela ovvero munito dell’indicazione dei rapporti di parentela, ma riferiti a soggetto diverso dal “de </w:t>
      </w:r>
      <w:proofErr w:type="spellStart"/>
      <w:r w:rsidRPr="00225C94">
        <w:rPr>
          <w:rFonts w:ascii="Times New Roman" w:eastAsia="Times New Roman" w:hAnsi="Times New Roman" w:cs="Times New Roman"/>
          <w:kern w:val="0"/>
          <w:sz w:val="26"/>
          <w:szCs w:val="26"/>
          <w:lang w:eastAsia="it-IT"/>
          <w14:ligatures w14:val="none"/>
        </w:rPr>
        <w:t>cuius</w:t>
      </w:r>
      <w:proofErr w:type="spellEnd"/>
      <w:r w:rsidRPr="00225C94">
        <w:rPr>
          <w:rFonts w:ascii="Times New Roman" w:eastAsia="Times New Roman" w:hAnsi="Times New Roman" w:cs="Times New Roman"/>
          <w:kern w:val="0"/>
          <w:sz w:val="26"/>
          <w:szCs w:val="26"/>
          <w:lang w:eastAsia="it-IT"/>
          <w14:ligatures w14:val="none"/>
        </w:rPr>
        <w:t>” (es. marito della defunta), occorrerà integrare la documentazione depositando certificati di nascita con indicazione dei genitori e certificati di matrimonio ovvero atti di stato notorio ricevuti da pubblico ufficiale (NON AUTOCERTIFICAZIONE);</w:t>
      </w:r>
    </w:p>
    <w:p w14:paraId="62450FC6" w14:textId="77777777"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 xml:space="preserve">-       stato di famiglia storico dei chiamati rinuncianti e dichiarazione di rinuncia </w:t>
      </w:r>
    </w:p>
    <w:p w14:paraId="0E7B1060" w14:textId="77777777"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       estratto tavolare degli immobili (se viene richiesto l’accertamento dell’acquisto di un diritto di abitazione a norma dell’art. 540 c. 2 c.c. ovvero in caso di assegnazione di diritti reali su beni immobili con testamento)</w:t>
      </w:r>
    </w:p>
    <w:p w14:paraId="222FE681" w14:textId="77777777"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 xml:space="preserve">-       per i richiedenti incapaci o a capacità limitata, per i quali l’adempimento è previsto, autorizzazione ad accettare l’eredità ed accettazione espressa; </w:t>
      </w:r>
    </w:p>
    <w:p w14:paraId="22AA9C1C" w14:textId="77777777"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 xml:space="preserve">-       a recepimento della risoluzione dell’Agenzia delle Entrate n. 24/E </w:t>
      </w:r>
      <w:proofErr w:type="spellStart"/>
      <w:r w:rsidRPr="00225C94">
        <w:rPr>
          <w:rFonts w:ascii="Times New Roman" w:eastAsia="Times New Roman" w:hAnsi="Times New Roman" w:cs="Times New Roman"/>
          <w:kern w:val="0"/>
          <w:sz w:val="26"/>
          <w:szCs w:val="26"/>
          <w:lang w:eastAsia="it-IT"/>
          <w14:ligatures w14:val="none"/>
        </w:rPr>
        <w:t>dd</w:t>
      </w:r>
      <w:proofErr w:type="spellEnd"/>
      <w:r w:rsidRPr="00225C94">
        <w:rPr>
          <w:rFonts w:ascii="Times New Roman" w:eastAsia="Times New Roman" w:hAnsi="Times New Roman" w:cs="Times New Roman"/>
          <w:kern w:val="0"/>
          <w:sz w:val="26"/>
          <w:szCs w:val="26"/>
          <w:lang w:eastAsia="it-IT"/>
          <w14:ligatures w14:val="none"/>
        </w:rPr>
        <w:t>. 18/4/2016 tutti i documenti allegati alla domanda sono esenti da bollo ai sensi dell’art. 18 del DPR n. 115/02</w:t>
      </w:r>
    </w:p>
    <w:p w14:paraId="0633AF53" w14:textId="77777777"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 xml:space="preserve">Poiché trattasi di procedimento dinnanzi all’Autorità Giudiziaria e non a quella Amministrativa, non sono accettate autocertificazioni. </w:t>
      </w:r>
    </w:p>
    <w:p w14:paraId="07D9ABC4" w14:textId="77777777"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Quanto al contenuto del ricorso, si rammenta che ai sensi della Legge Tavolare:</w:t>
      </w:r>
    </w:p>
    <w:p w14:paraId="449F42EA" w14:textId="77777777"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a)      se la domanda è proposta in base a un titolo testamentario, il richiedente deve indicare, ove possibile, le persone che sarebbero chiamate a succedere per legge in difetto di testamento valido e, in ogni caso, quelle che abbiano diritto ad una quota di riserva (art. 14);</w:t>
      </w:r>
    </w:p>
    <w:p w14:paraId="2CD6D424" w14:textId="77777777"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t>b)      se il certificato è chiesto in base a un titolo di successione legittima, il richiedente deve fornire le indicazioni necessarie per giudicare se esistono disposizioni testamentarie e se il suo diritto alla successione legittima sia escluso o limitato dal diritto a succedere di parenti più prossimi (art. 15);</w:t>
      </w:r>
    </w:p>
    <w:p w14:paraId="48952758" w14:textId="24A19C58" w:rsidR="00225C94" w:rsidRPr="00225C94" w:rsidRDefault="00225C94" w:rsidP="00507958">
      <w:pPr>
        <w:spacing w:before="120" w:after="120" w:line="240" w:lineRule="auto"/>
        <w:jc w:val="both"/>
        <w:rPr>
          <w:rFonts w:ascii="Calibri" w:eastAsia="Times New Roman" w:hAnsi="Calibri" w:cs="Calibri"/>
          <w:kern w:val="0"/>
          <w:lang w:eastAsia="it-IT"/>
          <w14:ligatures w14:val="none"/>
        </w:rPr>
      </w:pPr>
      <w:r w:rsidRPr="00225C94">
        <w:rPr>
          <w:rFonts w:ascii="Times New Roman" w:eastAsia="Times New Roman" w:hAnsi="Times New Roman" w:cs="Times New Roman"/>
          <w:kern w:val="0"/>
          <w:sz w:val="26"/>
          <w:szCs w:val="26"/>
          <w:lang w:eastAsia="it-IT"/>
          <w14:ligatures w14:val="none"/>
        </w:rPr>
        <w:lastRenderedPageBreak/>
        <w:t>c)      in ogni caso il richiedente deve dichiarare se sia o no pendente una lite sul diritto a succedere.</w:t>
      </w:r>
    </w:p>
    <w:p w14:paraId="56E6C30A" w14:textId="77777777" w:rsidR="00623CFB" w:rsidRPr="00826B3A" w:rsidRDefault="00623CFB" w:rsidP="00507958">
      <w:pPr>
        <w:spacing w:before="120" w:after="120" w:line="240" w:lineRule="auto"/>
        <w:jc w:val="both"/>
      </w:pPr>
    </w:p>
    <w:p w14:paraId="6640733A"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 xml:space="preserve">Es muss ein Rekurs mit entsprechendem Antrag auf Eintragung in das Register bei der Kanzlei für Nachlassangelegenheiten (bzw. mittels telematischer Hinterlegung im telematischen Zivilprozess „PCT“) mit der Unterschrift der Erben eingereicht werden, die zwingend durch einen Notar oder einen Rechtsanwalt ausgestattet mit Prozessvollmacht beglaubigt ist, welche ebenfalls mit Unterschriftsbeglaubigung durch den Verteidiger versehen ist. </w:t>
      </w:r>
    </w:p>
    <w:p w14:paraId="519169D0"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Dem Rekurs müssen folgende Urkunden beigelegt werden, die, je nachdem ob es sich um eine gesetzliche oder eine testamentarische Erbfolge handelt, unterschiedlich sein können:  </w:t>
      </w:r>
    </w:p>
    <w:p w14:paraId="52952010"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 xml:space="preserve">-          Todesbescheinigung </w:t>
      </w:r>
    </w:p>
    <w:p w14:paraId="3DFBD4F0"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          hinterlegte Erbschaftsmeldung</w:t>
      </w:r>
    </w:p>
    <w:p w14:paraId="0124CDD6"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          beglaubigte Abschrift des Testaments</w:t>
      </w:r>
    </w:p>
    <w:p w14:paraId="7BF94BA0"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          historischer Familienbogen des Verstorbenen mit Angabe der Verwandtschaft: Sollte das gemeindliche Meldeamt den historischen Familienbogen ohne Angabe der Verwandtschaftsbeziehungen bzw. mit Angabe der Verwandtschaftsbeziehungen bezogen aber auf eine vom Erblasser verschiedene Person (z. B. Ehemann der Verstorbenen) ausstellen, müssen die Unterlagen durch Hinterlegung von Geburtsscheinen mit Angabe der Eltern und Trauscheinen bzw. von einem Amtsträger entgegengenommenen beeideten Bezeugungsurkunden (KEINE EIGENBESCHEINIGUNG) ergänzt werden;</w:t>
      </w:r>
    </w:p>
    <w:p w14:paraId="25D744DF"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          historischer Familienbogen der zur Erbschaft berufenen verzichtenden Personen und Erklärung über die Ausschlagung der Erbschaft;</w:t>
      </w:r>
    </w:p>
    <w:p w14:paraId="4E79D4E2"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          Grundbuchauszug der Liegenschaften (falls die Feststellung des Erwerbs eines Wohnungsrechts im Sinne von Art. 540, Abs. 2 ZGB erforderlich ist bzw. bei Zuweisung von dinglichen Rechten auf Liegenschaften mit Testament);</w:t>
      </w:r>
    </w:p>
    <w:p w14:paraId="32E8D2F2"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          für handlungsunfähige bzw. beschränkt handlungsfähige Antragsteller, für welche die Obliegenheit vorgesehen ist, Ermächtigung zur Annahme der Erbschaft und ausdrückliche Annahme;</w:t>
      </w:r>
    </w:p>
    <w:p w14:paraId="28F15685"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          in Umsetzung der Resolution der Agentur der Einnahmen Nr. 24/E vom 18.4.2016 sind sämtliche dem Antrag beigelegten Urkunden stempelsteuerfrei im Sinne von Art. 18 DPR Nr. 115/02.</w:t>
      </w:r>
    </w:p>
    <w:p w14:paraId="4D910688"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Da es sich um ein Verfahren vor einer Gerichtsbehörde und nicht vor einer Verwaltungsbehörde handelt, werden keine Eigenbescheinigungen angenommen.</w:t>
      </w:r>
    </w:p>
    <w:p w14:paraId="4FB45D8E"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 xml:space="preserve">Was den Inhalt des Rekurses anbelangt, so sei darauf hingewiesen, dass im Sinne des Grundbuchgesetzes: </w:t>
      </w:r>
    </w:p>
    <w:p w14:paraId="5575FBBB"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a)        falls der Antrag aus dem Rechtstitel des Testaments gestellt wird, der Antragsteller, soweit möglich, die Personen angeben muss, die mangels eines gültigen Testaments gesetzlich zur Erbschaft berufen wären und, in jedem Falle, jene, die Anspruch auf einen Pflichtteil haben (Art. 14);</w:t>
      </w:r>
    </w:p>
    <w:p w14:paraId="2A472B66" w14:textId="7777777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lastRenderedPageBreak/>
        <w:t>b)        falls der Erbschein aus dem Rechtstitel der gesetzlichen Erbfolge beantragt wird, der Antragsteller zweckdienliche Angaben darüber machen muss, um beurteilen zu lassen, ob testamentarische Verfügungen vorliegen und ob sein Anspruch auf die gesetzliche Erbfolge durch den Anspruch auf die Erbfolge von nächsten Angehörigen ausgeschlossen oder beschränkt ist (Art. 15);    </w:t>
      </w:r>
    </w:p>
    <w:p w14:paraId="0758A234" w14:textId="0997EE67" w:rsidR="00225C94" w:rsidRPr="00225C94" w:rsidRDefault="00225C94" w:rsidP="00507958">
      <w:pPr>
        <w:shd w:val="clear" w:color="auto" w:fill="FFFFFF"/>
        <w:spacing w:before="120" w:after="120" w:line="240" w:lineRule="auto"/>
        <w:jc w:val="both"/>
        <w:rPr>
          <w:rFonts w:ascii="Calibri" w:eastAsia="Calibri" w:hAnsi="Calibri" w:cs="Calibri"/>
          <w:color w:val="000000"/>
          <w:kern w:val="0"/>
          <w:sz w:val="24"/>
          <w:szCs w:val="24"/>
          <w:lang w:val="de-DE" w:eastAsia="it-IT"/>
          <w14:ligatures w14:val="none"/>
        </w:rPr>
      </w:pPr>
      <w:r w:rsidRPr="00225C94">
        <w:rPr>
          <w:rFonts w:ascii="Times New Roman" w:eastAsia="Calibri" w:hAnsi="Times New Roman" w:cs="Times New Roman"/>
          <w:color w:val="000000"/>
          <w:kern w:val="0"/>
          <w:sz w:val="26"/>
          <w:szCs w:val="26"/>
          <w:lang w:val="de-DE" w:eastAsia="it-IT"/>
          <w14:ligatures w14:val="none"/>
        </w:rPr>
        <w:t>c)        der Antragsteller auf jeden Fall erklären muss, ob ein Rechtsstreit über das Erbrecht anhängig ist oder nicht.</w:t>
      </w:r>
    </w:p>
    <w:p w14:paraId="741424E4" w14:textId="77777777" w:rsidR="00225C94" w:rsidRPr="00826B3A" w:rsidRDefault="00225C94" w:rsidP="00507958">
      <w:pPr>
        <w:spacing w:before="120" w:after="120" w:line="240" w:lineRule="auto"/>
        <w:jc w:val="both"/>
        <w:rPr>
          <w:lang w:val="de-DE"/>
        </w:rPr>
      </w:pPr>
    </w:p>
    <w:sectPr w:rsidR="00225C94" w:rsidRPr="00826B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57"/>
    <w:rsid w:val="000248F0"/>
    <w:rsid w:val="00097FCA"/>
    <w:rsid w:val="000C77E2"/>
    <w:rsid w:val="00225C94"/>
    <w:rsid w:val="00405849"/>
    <w:rsid w:val="00475CEE"/>
    <w:rsid w:val="00507958"/>
    <w:rsid w:val="00524CF6"/>
    <w:rsid w:val="00623CFB"/>
    <w:rsid w:val="0066694E"/>
    <w:rsid w:val="006B3123"/>
    <w:rsid w:val="007F21AD"/>
    <w:rsid w:val="008156C8"/>
    <w:rsid w:val="00826B3A"/>
    <w:rsid w:val="00A271C3"/>
    <w:rsid w:val="00B4602E"/>
    <w:rsid w:val="00D42857"/>
    <w:rsid w:val="00D72E63"/>
    <w:rsid w:val="00DD74F4"/>
    <w:rsid w:val="00E747F7"/>
    <w:rsid w:val="00E92DEE"/>
    <w:rsid w:val="00FA3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4249"/>
  <w15:chartTrackingRefBased/>
  <w15:docId w15:val="{E10351EE-DBFD-4846-8015-24635B4A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13844">
      <w:bodyDiv w:val="1"/>
      <w:marLeft w:val="0"/>
      <w:marRight w:val="0"/>
      <w:marTop w:val="0"/>
      <w:marBottom w:val="0"/>
      <w:divBdr>
        <w:top w:val="none" w:sz="0" w:space="0" w:color="auto"/>
        <w:left w:val="none" w:sz="0" w:space="0" w:color="auto"/>
        <w:bottom w:val="none" w:sz="0" w:space="0" w:color="auto"/>
        <w:right w:val="none" w:sz="0" w:space="0" w:color="auto"/>
      </w:divBdr>
    </w:div>
    <w:div w:id="17216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5194</Characters>
  <Application>Microsoft Office Word</Application>
  <DocSecurity>4</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Covi</dc:creator>
  <cp:keywords/>
  <dc:description/>
  <cp:lastModifiedBy>Francesca Bortolotti</cp:lastModifiedBy>
  <cp:revision>2</cp:revision>
  <dcterms:created xsi:type="dcterms:W3CDTF">2023-09-07T07:02:00Z</dcterms:created>
  <dcterms:modified xsi:type="dcterms:W3CDTF">2023-09-07T07:02:00Z</dcterms:modified>
</cp:coreProperties>
</file>